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2ADA5084" w14:textId="40E32F39" w:rsidR="00D61347" w:rsidRPr="00265EED" w:rsidRDefault="00265EED">
            <w:pPr>
              <w:rPr>
                <w:rFonts w:cstheme="minorHAnsi"/>
                <w:color w:val="000000"/>
                <w:bdr w:val="none" w:sz="0" w:space="0" w:color="auto" w:frame="1"/>
              </w:rPr>
            </w:pPr>
            <w:r w:rsidRPr="00265EED"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CARE-SCI - Co-designing Actionable Recommendations to Enhance support for older adults with Spinal Cord Injury navigating age-specific policy.</w:t>
            </w: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2663D424" w14:textId="77777777" w:rsidR="00265EED" w:rsidRDefault="00265EED" w:rsidP="00265EED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students: 2 students, ideally from disciplines within SHRS</w:t>
            </w:r>
          </w:p>
          <w:p w14:paraId="5ECE3B7F" w14:textId="327AC374" w:rsidR="00265EED" w:rsidRDefault="00265EED" w:rsidP="00265EED">
            <w:pPr>
              <w:rPr>
                <w:rFonts w:cstheme="minorHAnsi"/>
              </w:rPr>
            </w:pPr>
            <w:r>
              <w:rPr>
                <w:rFonts w:cstheme="minorHAnsi"/>
              </w:rPr>
              <w:t>Duration</w:t>
            </w:r>
            <w:r w:rsidRPr="00941E04">
              <w:rPr>
                <w:rFonts w:cstheme="minorHAnsi"/>
              </w:rPr>
              <w:t xml:space="preserve"> of the</w:t>
            </w:r>
            <w:r>
              <w:rPr>
                <w:rFonts w:cstheme="minorHAnsi"/>
              </w:rPr>
              <w:t xml:space="preserve"> project: 4 weeks</w:t>
            </w:r>
          </w:p>
          <w:p w14:paraId="28CD6FD9" w14:textId="77777777" w:rsidR="00265EED" w:rsidRDefault="00265EED" w:rsidP="00265EED">
            <w:pPr>
              <w:rPr>
                <w:rFonts w:cstheme="minorHAnsi"/>
              </w:rPr>
            </w:pPr>
            <w:r>
              <w:rPr>
                <w:rFonts w:cstheme="minorHAnsi"/>
              </w:rPr>
              <w:t>Hours of Engagement: ~ 30 hours per week</w:t>
            </w:r>
          </w:p>
          <w:p w14:paraId="54E0A7B0" w14:textId="241D9DFF" w:rsidR="00FA2569" w:rsidRPr="00454FF1" w:rsidRDefault="00265EED" w:rsidP="00265EED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Engagement/Delivery Mode: Project can be completed under on-site working arrangements</w:t>
            </w:r>
            <w:r w:rsidR="00371252">
              <w:rPr>
                <w:rFonts w:cstheme="minorHAnsi"/>
              </w:rPr>
              <w:t>, and/or hybrid working arrangements (i.e., remote with some on-site commitments).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F04017C" w14:textId="2D5CB2F1" w:rsidR="00FA2569" w:rsidRPr="00454FF1" w:rsidRDefault="0060336F" w:rsidP="00572718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Experiencing</w:t>
            </w:r>
            <w:r w:rsidRPr="0060336F">
              <w:rPr>
                <w:rFonts w:cstheme="minorHAnsi"/>
              </w:rPr>
              <w:t xml:space="preserve"> a spinal cord injury (SCI) signifies a sudden and impactful life change, with its occurrence becoming more prevalent among older adults.</w:t>
            </w:r>
            <w:r w:rsidRPr="0060336F">
              <w:rPr>
                <w:rFonts w:cstheme="minorHAnsi"/>
                <w:vertAlign w:val="superscript"/>
              </w:rPr>
              <w:t>(1)</w:t>
            </w:r>
            <w:r>
              <w:rPr>
                <w:rFonts w:cstheme="minorHAnsi"/>
                <w:vertAlign w:val="superscript"/>
              </w:rPr>
              <w:t xml:space="preserve"> </w:t>
            </w:r>
            <w:r>
              <w:rPr>
                <w:rFonts w:cstheme="minorHAnsi"/>
              </w:rPr>
              <w:t>While this experience often results in</w:t>
            </w:r>
            <w:r w:rsidR="00371252" w:rsidRPr="00371252">
              <w:rPr>
                <w:rFonts w:cstheme="minorHAnsi"/>
              </w:rPr>
              <w:t xml:space="preserve"> numerous challenges, one key issue recogni</w:t>
            </w:r>
            <w:r w:rsidR="00371252">
              <w:rPr>
                <w:rFonts w:cstheme="minorHAnsi"/>
              </w:rPr>
              <w:t>s</w:t>
            </w:r>
            <w:r w:rsidR="00371252" w:rsidRPr="00371252">
              <w:rPr>
                <w:rFonts w:cstheme="minorHAnsi"/>
              </w:rPr>
              <w:t xml:space="preserve">ed by older </w:t>
            </w:r>
            <w:r>
              <w:rPr>
                <w:rFonts w:cstheme="minorHAnsi"/>
              </w:rPr>
              <w:t>people with SCI</w:t>
            </w:r>
            <w:r w:rsidR="00371252" w:rsidRPr="00371252">
              <w:rPr>
                <w:rFonts w:cstheme="minorHAnsi"/>
              </w:rPr>
              <w:t>, families, and health teams is the inequality caused by age-specific policies and funding for home and community care. In Australia, those aged 65 and above can access government-funded services through My Aged Care (MAC). However, when comparing these services with</w:t>
            </w:r>
            <w:r>
              <w:rPr>
                <w:rFonts w:cstheme="minorHAnsi"/>
              </w:rPr>
              <w:t xml:space="preserve"> those available through</w:t>
            </w:r>
            <w:r w:rsidR="00371252" w:rsidRPr="00371252">
              <w:rPr>
                <w:rFonts w:cstheme="minorHAnsi"/>
              </w:rPr>
              <w:t xml:space="preserve"> insurance-based schemes like </w:t>
            </w:r>
            <w:r>
              <w:rPr>
                <w:rFonts w:cstheme="minorHAnsi"/>
              </w:rPr>
              <w:t xml:space="preserve">the </w:t>
            </w:r>
            <w:r w:rsidR="00371252" w:rsidRPr="00371252">
              <w:rPr>
                <w:rFonts w:cstheme="minorHAnsi"/>
              </w:rPr>
              <w:t>N</w:t>
            </w:r>
            <w:r>
              <w:rPr>
                <w:rFonts w:cstheme="minorHAnsi"/>
              </w:rPr>
              <w:t>ational Disability Insurance Scheme (N</w:t>
            </w:r>
            <w:r w:rsidR="00371252" w:rsidRPr="00371252">
              <w:rPr>
                <w:rFonts w:cstheme="minorHAnsi"/>
              </w:rPr>
              <w:t>DIS</w:t>
            </w:r>
            <w:r>
              <w:rPr>
                <w:rFonts w:cstheme="minorHAnsi"/>
              </w:rPr>
              <w:t>)</w:t>
            </w:r>
            <w:r w:rsidR="00371252" w:rsidRPr="00371252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the</w:t>
            </w:r>
            <w:r w:rsidR="00371252" w:rsidRPr="00371252">
              <w:rPr>
                <w:rFonts w:cstheme="minorHAnsi"/>
              </w:rPr>
              <w:t xml:space="preserve"> N</w:t>
            </w:r>
            <w:r>
              <w:rPr>
                <w:rFonts w:cstheme="minorHAnsi"/>
              </w:rPr>
              <w:t xml:space="preserve">ational </w:t>
            </w:r>
            <w:r w:rsidR="00371252" w:rsidRPr="0037125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njury </w:t>
            </w:r>
            <w:r w:rsidR="00371252" w:rsidRPr="00371252">
              <w:rPr>
                <w:rFonts w:cstheme="minorHAnsi"/>
              </w:rPr>
              <w:t>I</w:t>
            </w:r>
            <w:r>
              <w:rPr>
                <w:rFonts w:cstheme="minorHAnsi"/>
              </w:rPr>
              <w:t xml:space="preserve">nsurance </w:t>
            </w:r>
            <w:r w:rsidR="00371252" w:rsidRPr="0037125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cheme </w:t>
            </w:r>
            <w:r w:rsidR="00371252" w:rsidRPr="00371252">
              <w:rPr>
                <w:rFonts w:cstheme="minorHAnsi"/>
              </w:rPr>
              <w:t>Q</w:t>
            </w:r>
            <w:r>
              <w:rPr>
                <w:rFonts w:cstheme="minorHAnsi"/>
              </w:rPr>
              <w:t>ueensland (NISSQ)</w:t>
            </w:r>
            <w:r w:rsidR="00371252" w:rsidRPr="00371252">
              <w:rPr>
                <w:rFonts w:cstheme="minorHAnsi"/>
              </w:rPr>
              <w:t>, designed for younger individuals and those with severe</w:t>
            </w:r>
            <w:r w:rsidR="00371252">
              <w:rPr>
                <w:rFonts w:cstheme="minorHAnsi"/>
              </w:rPr>
              <w:t>/catastrophic</w:t>
            </w:r>
            <w:r w:rsidR="00371252" w:rsidRPr="00371252">
              <w:rPr>
                <w:rFonts w:cstheme="minorHAnsi"/>
              </w:rPr>
              <w:t xml:space="preserve"> injuries, </w:t>
            </w:r>
            <w:r>
              <w:rPr>
                <w:rFonts w:cstheme="minorHAnsi"/>
              </w:rPr>
              <w:t xml:space="preserve">prominent </w:t>
            </w:r>
            <w:r w:rsidR="00371252" w:rsidRPr="00371252">
              <w:rPr>
                <w:rFonts w:cstheme="minorHAnsi"/>
              </w:rPr>
              <w:t xml:space="preserve">differences emerge. To </w:t>
            </w:r>
            <w:r>
              <w:rPr>
                <w:rFonts w:cstheme="minorHAnsi"/>
              </w:rPr>
              <w:t>appreciate how differences impact outcomes for older people with SCI and their families</w:t>
            </w:r>
            <w:r w:rsidR="00371252" w:rsidRPr="00371252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this</w:t>
            </w:r>
            <w:r w:rsidR="00371252" w:rsidRPr="00371252">
              <w:rPr>
                <w:rFonts w:cstheme="minorHAnsi"/>
              </w:rPr>
              <w:t xml:space="preserve"> project focuses on exploring patient journeys, </w:t>
            </w:r>
            <w:r>
              <w:rPr>
                <w:rFonts w:cstheme="minorHAnsi"/>
              </w:rPr>
              <w:t>outcomes</w:t>
            </w:r>
            <w:r w:rsidR="00371252" w:rsidRPr="00371252">
              <w:rPr>
                <w:rFonts w:cstheme="minorHAnsi"/>
              </w:rPr>
              <w:t xml:space="preserve">, and the interplay with policies and funding from various </w:t>
            </w:r>
            <w:r>
              <w:rPr>
                <w:rFonts w:cstheme="minorHAnsi"/>
              </w:rPr>
              <w:t xml:space="preserve">stakeholder </w:t>
            </w:r>
            <w:r w:rsidR="00371252" w:rsidRPr="00371252">
              <w:rPr>
                <w:rFonts w:cstheme="minorHAnsi"/>
              </w:rPr>
              <w:t>perspectives. Through experience-based co-design</w:t>
            </w:r>
            <w:r w:rsidR="00371252" w:rsidRPr="006C00A9">
              <w:rPr>
                <w:rFonts w:cstheme="minorHAnsi"/>
                <w:vertAlign w:val="superscript"/>
              </w:rPr>
              <w:t>(2)</w:t>
            </w:r>
            <w:r w:rsidR="00371252" w:rsidRPr="00371252">
              <w:rPr>
                <w:rFonts w:cstheme="minorHAnsi"/>
              </w:rPr>
              <w:t xml:space="preserve"> and interpretive description</w:t>
            </w:r>
            <w:r w:rsidR="00371252" w:rsidRPr="006C00A9">
              <w:rPr>
                <w:rFonts w:cstheme="minorHAnsi"/>
                <w:vertAlign w:val="superscript"/>
              </w:rPr>
              <w:t>(3)</w:t>
            </w:r>
            <w:r w:rsidR="00371252" w:rsidRPr="00371252">
              <w:rPr>
                <w:rFonts w:cstheme="minorHAnsi"/>
              </w:rPr>
              <w:t>, this research aims to collaboratively desig</w:t>
            </w:r>
            <w:r w:rsidR="006C00A9">
              <w:rPr>
                <w:rFonts w:cstheme="minorHAnsi"/>
              </w:rPr>
              <w:t>n and create practical solutions, fostering enhancements and proposing recommendations. The objective is to advocate for meaningful change that will significantly influence both policy and practice</w:t>
            </w:r>
            <w:r w:rsidR="00371252" w:rsidRPr="00371252">
              <w:rPr>
                <w:rFonts w:cstheme="minorHAnsi"/>
              </w:rPr>
              <w:t>,</w:t>
            </w:r>
            <w:r w:rsidR="006C00A9">
              <w:rPr>
                <w:rFonts w:cstheme="minorHAnsi"/>
              </w:rPr>
              <w:t xml:space="preserve"> ultimately improving outcomes for older people with SCI and their families.</w:t>
            </w: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08DC5C6A" w14:textId="6DCC75C2" w:rsidR="00FA2569" w:rsidRPr="00454FF1" w:rsidRDefault="001B19E4" w:rsidP="00D6134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 xml:space="preserve">Student </w:t>
            </w:r>
            <w:r w:rsidR="003B5287">
              <w:rPr>
                <w:rFonts w:cstheme="minorHAnsi"/>
                <w:color w:val="000000"/>
              </w:rPr>
              <w:t>scholars</w:t>
            </w:r>
            <w:r w:rsidRPr="001B19E4">
              <w:rPr>
                <w:rFonts w:cstheme="minorHAnsi"/>
                <w:color w:val="000000"/>
              </w:rPr>
              <w:t xml:space="preserve"> can anticipate </w:t>
            </w:r>
            <w:r>
              <w:rPr>
                <w:rFonts w:cstheme="minorHAnsi"/>
                <w:color w:val="000000"/>
              </w:rPr>
              <w:t>developing and/or refining</w:t>
            </w:r>
            <w:r w:rsidRPr="001B19E4">
              <w:rPr>
                <w:rFonts w:cstheme="minorHAnsi"/>
                <w:color w:val="000000"/>
              </w:rPr>
              <w:t xml:space="preserve"> qualitative data collection</w:t>
            </w:r>
            <w:r>
              <w:rPr>
                <w:rFonts w:cstheme="minorHAnsi"/>
                <w:color w:val="000000"/>
              </w:rPr>
              <w:t xml:space="preserve"> and analysis</w:t>
            </w:r>
            <w:r w:rsidRPr="001B19E4">
              <w:rPr>
                <w:rFonts w:cstheme="minorHAnsi"/>
                <w:color w:val="000000"/>
              </w:rPr>
              <w:t xml:space="preserve"> skills, encompassing tasks like conducting interviews and creating journey maps</w:t>
            </w:r>
            <w:r>
              <w:rPr>
                <w:rFonts w:cstheme="minorHAnsi"/>
                <w:color w:val="000000"/>
              </w:rPr>
              <w:t xml:space="preserve"> and commencing preliminary analyses.</w:t>
            </w:r>
            <w:r w:rsidRPr="001B19E4">
              <w:rPr>
                <w:rFonts w:cstheme="minorHAnsi"/>
                <w:color w:val="000000"/>
              </w:rPr>
              <w:t xml:space="preserve"> </w:t>
            </w:r>
            <w:r w:rsidR="003B5287">
              <w:rPr>
                <w:rFonts w:cstheme="minorHAnsi"/>
                <w:color w:val="000000"/>
              </w:rPr>
              <w:t>Scholars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B19E4">
              <w:rPr>
                <w:rFonts w:cstheme="minorHAnsi"/>
                <w:color w:val="000000"/>
              </w:rPr>
              <w:t>will</w:t>
            </w:r>
            <w:r>
              <w:rPr>
                <w:rFonts w:cstheme="minorHAnsi"/>
                <w:color w:val="000000"/>
              </w:rPr>
              <w:t xml:space="preserve"> also</w:t>
            </w:r>
            <w:r w:rsidRPr="001B19E4">
              <w:rPr>
                <w:rFonts w:cstheme="minorHAnsi"/>
                <w:color w:val="000000"/>
              </w:rPr>
              <w:t xml:space="preserve"> actively contribute to preparing for co-design activities, aiding in the development of resources and artifacts that facilitate collaboration between consumers and health professionals. Engaging with a newly formed research team, comprising academics, clinicians, and consumer investigators, provides students with valuable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B19E4">
              <w:rPr>
                <w:rFonts w:cstheme="minorHAnsi"/>
                <w:color w:val="000000"/>
              </w:rPr>
              <w:t>exposure to diverse perspectives and collaborative dynamics. This experience positions students to contribute meaningfully to the project and cultivates a well-rounded skill set.</w:t>
            </w:r>
            <w:r>
              <w:rPr>
                <w:rFonts w:cstheme="minorHAnsi"/>
                <w:color w:val="000000"/>
              </w:rPr>
              <w:t xml:space="preserve"> </w:t>
            </w:r>
            <w:r w:rsidRPr="001B19E4">
              <w:rPr>
                <w:rFonts w:cstheme="minorHAnsi"/>
                <w:color w:val="000000"/>
              </w:rPr>
              <w:t>The culmination of the project may involve students producing a report or delivering an oral presentation to share findings with interested stakeholders, providing a platform to showcase acquired skills and insights gained throughout the project.</w:t>
            </w:r>
          </w:p>
        </w:tc>
      </w:tr>
      <w:tr w:rsidR="00FA2569" w:rsidRPr="00454FF1" w14:paraId="3FC33824" w14:textId="77777777" w:rsidTr="001B19E4">
        <w:trPr>
          <w:trHeight w:val="841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7149" w:type="dxa"/>
          </w:tcPr>
          <w:p w14:paraId="3674F40C" w14:textId="79C78CC9" w:rsidR="00FA2569" w:rsidRPr="00454FF1" w:rsidRDefault="006C00A9" w:rsidP="00D61347">
            <w:pPr>
              <w:rPr>
                <w:rFonts w:cstheme="minorHAnsi"/>
                <w:i/>
              </w:rPr>
            </w:pPr>
            <w:r w:rsidRPr="006C00A9">
              <w:rPr>
                <w:rFonts w:cstheme="minorHAnsi"/>
                <w:color w:val="000000"/>
              </w:rPr>
              <w:t xml:space="preserve">This project is open to applications from UQ enrolled School of Health and Rehabilitation students. Some knowledge of qualitative </w:t>
            </w:r>
            <w:r w:rsidR="001B19E4">
              <w:rPr>
                <w:rFonts w:cstheme="minorHAnsi"/>
                <w:color w:val="000000"/>
              </w:rPr>
              <w:t xml:space="preserve">data collection and </w:t>
            </w:r>
            <w:r w:rsidRPr="006C00A9">
              <w:rPr>
                <w:rFonts w:cstheme="minorHAnsi"/>
                <w:color w:val="000000"/>
              </w:rPr>
              <w:t>analysis would be highly regarded.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43753920" w:rsidR="00FA2569" w:rsidRPr="00941E04" w:rsidRDefault="006C00A9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Dr Melanie Hoyle &amp; Associate Professor Jacki Liddle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57BE2138" w14:textId="6CD66A98" w:rsidR="00941E04" w:rsidRPr="00941E04" w:rsidRDefault="006C00A9" w:rsidP="00FA2569">
            <w:pPr>
              <w:rPr>
                <w:rFonts w:cstheme="minorHAnsi"/>
              </w:rPr>
            </w:pPr>
            <w:r w:rsidRPr="006C00A9">
              <w:rPr>
                <w:rFonts w:cstheme="minorHAnsi"/>
              </w:rPr>
              <w:t xml:space="preserve">Further information can be sought from </w:t>
            </w:r>
            <w:r>
              <w:rPr>
                <w:rFonts w:cstheme="minorHAnsi"/>
              </w:rPr>
              <w:t>Dr</w:t>
            </w:r>
            <w:r w:rsidRPr="006C00A9">
              <w:rPr>
                <w:rFonts w:cstheme="minorHAnsi"/>
              </w:rPr>
              <w:t xml:space="preserve"> Melanie Hoyle – </w:t>
            </w:r>
            <w:hyperlink r:id="rId7" w:history="1">
              <w:r w:rsidRPr="00DA17E0">
                <w:rPr>
                  <w:rStyle w:val="Hyperlink"/>
                  <w:rFonts w:cstheme="minorHAnsi"/>
                </w:rPr>
                <w:t>m.hoyle@uq.edu.au</w:t>
              </w:r>
            </w:hyperlink>
            <w:r w:rsidRPr="006C00A9">
              <w:rPr>
                <w:rFonts w:cstheme="minorHAnsi"/>
              </w:rPr>
              <w:t>. It is not a requirement to contact the supervisory team prior to applying.</w:t>
            </w:r>
          </w:p>
        </w:tc>
      </w:tr>
    </w:tbl>
    <w:p w14:paraId="7F221803" w14:textId="77777777" w:rsidR="00A54AF7" w:rsidRDefault="00A54AF7"/>
    <w:p w14:paraId="047979DD" w14:textId="77777777" w:rsidR="00CA2827" w:rsidRDefault="00CA2827" w:rsidP="00CA2827">
      <w:pPr>
        <w:ind w:left="131"/>
        <w:rPr>
          <w:b/>
          <w:sz w:val="24"/>
        </w:rPr>
      </w:pPr>
      <w:r>
        <w:rPr>
          <w:b/>
          <w:sz w:val="24"/>
          <w:u w:val="single"/>
        </w:rPr>
        <w:t>Reference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4"/>
          <w:sz w:val="24"/>
          <w:u w:val="single"/>
        </w:rPr>
        <w:t>List</w:t>
      </w:r>
    </w:p>
    <w:p w14:paraId="4344C2CA" w14:textId="77777777" w:rsidR="00CA2827" w:rsidRDefault="00CA2827" w:rsidP="00CA2827">
      <w:pPr>
        <w:pStyle w:val="ListParagraph"/>
        <w:widowControl w:val="0"/>
        <w:numPr>
          <w:ilvl w:val="1"/>
          <w:numId w:val="2"/>
        </w:numPr>
        <w:tabs>
          <w:tab w:val="left" w:pos="326"/>
        </w:tabs>
        <w:autoSpaceDE w:val="0"/>
        <w:autoSpaceDN w:val="0"/>
        <w:spacing w:before="206" w:line="276" w:lineRule="auto"/>
        <w:ind w:left="131" w:right="568" w:firstLine="0"/>
        <w:contextualSpacing w:val="0"/>
        <w:rPr>
          <w:sz w:val="20"/>
        </w:rPr>
      </w:pPr>
      <w:r>
        <w:rPr>
          <w:sz w:val="20"/>
        </w:rPr>
        <w:t>van den</w:t>
      </w:r>
      <w:r>
        <w:rPr>
          <w:spacing w:val="-3"/>
          <w:sz w:val="20"/>
        </w:rPr>
        <w:t xml:space="preserve"> </w:t>
      </w:r>
      <w:r>
        <w:rPr>
          <w:sz w:val="20"/>
        </w:rPr>
        <w:t>Berg</w:t>
      </w:r>
      <w:r>
        <w:rPr>
          <w:spacing w:val="-3"/>
          <w:sz w:val="20"/>
        </w:rPr>
        <w:t xml:space="preserve"> </w:t>
      </w:r>
      <w:r>
        <w:rPr>
          <w:sz w:val="20"/>
        </w:rPr>
        <w:t>MEL,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Castellote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JM,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Mahillo</w:t>
      </w:r>
      <w:proofErr w:type="spellEnd"/>
      <w:r>
        <w:rPr>
          <w:sz w:val="20"/>
        </w:rPr>
        <w:t>-Fernandez</w:t>
      </w:r>
      <w:r>
        <w:rPr>
          <w:spacing w:val="-3"/>
          <w:sz w:val="20"/>
        </w:rPr>
        <w:t xml:space="preserve"> </w:t>
      </w:r>
      <w:r>
        <w:rPr>
          <w:sz w:val="20"/>
        </w:rPr>
        <w:t>I,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Pedro-Cuesta</w:t>
      </w:r>
      <w:r>
        <w:rPr>
          <w:spacing w:val="-3"/>
          <w:sz w:val="20"/>
        </w:rPr>
        <w:t xml:space="preserve"> </w:t>
      </w:r>
      <w:r>
        <w:rPr>
          <w:sz w:val="20"/>
        </w:rPr>
        <w:t>J.</w:t>
      </w:r>
      <w:r>
        <w:rPr>
          <w:spacing w:val="-3"/>
          <w:sz w:val="20"/>
        </w:rPr>
        <w:t xml:space="preserve"> </w:t>
      </w:r>
      <w:r>
        <w:rPr>
          <w:sz w:val="20"/>
        </w:rPr>
        <w:t>Incidence</w:t>
      </w:r>
      <w:r>
        <w:rPr>
          <w:spacing w:val="-3"/>
          <w:sz w:val="20"/>
        </w:rPr>
        <w:t xml:space="preserve"> </w:t>
      </w:r>
      <w:r>
        <w:rPr>
          <w:sz w:val="20"/>
        </w:rPr>
        <w:t>of spinal</w:t>
      </w:r>
      <w:r>
        <w:rPr>
          <w:spacing w:val="-3"/>
          <w:sz w:val="20"/>
        </w:rPr>
        <w:t xml:space="preserve"> </w:t>
      </w:r>
      <w:r>
        <w:rPr>
          <w:sz w:val="20"/>
        </w:rPr>
        <w:t>cord injury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worldwide: A systematic review. Neuroepidemiology [Internet]. 2010;34(3):184–92. Available from: </w:t>
      </w:r>
      <w:r>
        <w:rPr>
          <w:color w:val="0562C1"/>
          <w:spacing w:val="-2"/>
          <w:sz w:val="20"/>
          <w:u w:val="single" w:color="0562C1"/>
        </w:rPr>
        <w:t>https://</w:t>
      </w:r>
      <w:hyperlink r:id="rId8">
        <w:r>
          <w:rPr>
            <w:color w:val="0562C1"/>
            <w:spacing w:val="-2"/>
            <w:sz w:val="20"/>
            <w:u w:val="single" w:color="0562C1"/>
          </w:rPr>
          <w:t>www.karger.com/Article/FullText/279335</w:t>
        </w:r>
      </w:hyperlink>
    </w:p>
    <w:p w14:paraId="3FF19F5E" w14:textId="77777777" w:rsidR="00CA2827" w:rsidRDefault="00CA2827" w:rsidP="00CA2827">
      <w:pPr>
        <w:pStyle w:val="ListParagraph"/>
        <w:widowControl w:val="0"/>
        <w:numPr>
          <w:ilvl w:val="1"/>
          <w:numId w:val="2"/>
        </w:numPr>
        <w:tabs>
          <w:tab w:val="left" w:pos="326"/>
        </w:tabs>
        <w:autoSpaceDE w:val="0"/>
        <w:autoSpaceDN w:val="0"/>
        <w:spacing w:before="159" w:line="276" w:lineRule="auto"/>
        <w:ind w:left="131" w:right="473" w:firstLine="0"/>
        <w:contextualSpacing w:val="0"/>
        <w:rPr>
          <w:sz w:val="20"/>
        </w:rPr>
      </w:pPr>
      <w:r>
        <w:rPr>
          <w:sz w:val="20"/>
        </w:rPr>
        <w:t>Boyd H,</w:t>
      </w:r>
      <w:r>
        <w:rPr>
          <w:spacing w:val="-3"/>
          <w:sz w:val="20"/>
        </w:rPr>
        <w:t xml:space="preserve"> </w:t>
      </w:r>
      <w:r>
        <w:rPr>
          <w:sz w:val="20"/>
        </w:rPr>
        <w:t>Mckernon</w:t>
      </w:r>
      <w:r>
        <w:rPr>
          <w:spacing w:val="-3"/>
          <w:sz w:val="20"/>
        </w:rPr>
        <w:t xml:space="preserve"> </w:t>
      </w:r>
      <w:r>
        <w:rPr>
          <w:sz w:val="20"/>
        </w:rPr>
        <w:t>S,</w:t>
      </w:r>
      <w:r>
        <w:rPr>
          <w:spacing w:val="-2"/>
          <w:sz w:val="20"/>
        </w:rPr>
        <w:t xml:space="preserve"> </w:t>
      </w:r>
      <w:r>
        <w:rPr>
          <w:sz w:val="20"/>
        </w:rPr>
        <w:t>Old</w:t>
      </w:r>
      <w:r>
        <w:rPr>
          <w:spacing w:val="-3"/>
          <w:sz w:val="20"/>
        </w:rPr>
        <w:t xml:space="preserve"> </w:t>
      </w:r>
      <w:r>
        <w:rPr>
          <w:sz w:val="20"/>
        </w:rPr>
        <w:t>A.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Co-design.</w:t>
      </w:r>
      <w:r>
        <w:rPr>
          <w:spacing w:val="-3"/>
          <w:sz w:val="20"/>
        </w:rPr>
        <w:t xml:space="preserve"> </w:t>
      </w:r>
      <w:r>
        <w:rPr>
          <w:sz w:val="20"/>
        </w:rPr>
        <w:t>Working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patients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healthcare</w:t>
      </w:r>
      <w:r>
        <w:rPr>
          <w:spacing w:val="-3"/>
          <w:sz w:val="20"/>
        </w:rPr>
        <w:t xml:space="preserve"> </w:t>
      </w:r>
      <w:r>
        <w:rPr>
          <w:sz w:val="20"/>
        </w:rPr>
        <w:t>services.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[Internet]. Waitemata District Health Board; 2010. [cited 2023 Apr 9]. Available from: </w:t>
      </w:r>
      <w:r>
        <w:rPr>
          <w:color w:val="0562C1"/>
          <w:spacing w:val="-2"/>
          <w:sz w:val="20"/>
          <w:u w:val="single" w:color="0562C1"/>
        </w:rPr>
        <w:t>https://</w:t>
      </w:r>
      <w:hyperlink r:id="rId9">
        <w:r>
          <w:rPr>
            <w:color w:val="0562C1"/>
            <w:spacing w:val="-2"/>
            <w:sz w:val="20"/>
            <w:u w:val="single" w:color="0562C1"/>
          </w:rPr>
          <w:t>www.wdhb.org.nz/assets/Uploads/Documents/45f463d911/rttc_health-service-co-design-by-h-boyd.pdf</w:t>
        </w:r>
      </w:hyperlink>
    </w:p>
    <w:p w14:paraId="337BA6C6" w14:textId="77777777" w:rsidR="00CA2827" w:rsidRDefault="00CA2827" w:rsidP="00CA2827">
      <w:pPr>
        <w:pStyle w:val="ListParagraph"/>
        <w:widowControl w:val="0"/>
        <w:numPr>
          <w:ilvl w:val="1"/>
          <w:numId w:val="2"/>
        </w:numPr>
        <w:tabs>
          <w:tab w:val="left" w:pos="326"/>
        </w:tabs>
        <w:autoSpaceDE w:val="0"/>
        <w:autoSpaceDN w:val="0"/>
        <w:spacing w:before="161" w:line="276" w:lineRule="auto"/>
        <w:ind w:left="131" w:right="164" w:firstLine="0"/>
        <w:contextualSpacing w:val="0"/>
        <w:rPr>
          <w:sz w:val="20"/>
        </w:rPr>
      </w:pPr>
      <w:r>
        <w:rPr>
          <w:sz w:val="20"/>
        </w:rPr>
        <w:t>Thorne</w:t>
      </w:r>
      <w:r>
        <w:rPr>
          <w:spacing w:val="-3"/>
          <w:sz w:val="20"/>
        </w:rPr>
        <w:t xml:space="preserve"> </w:t>
      </w:r>
      <w:r>
        <w:rPr>
          <w:sz w:val="20"/>
        </w:rPr>
        <w:t>S.</w:t>
      </w:r>
      <w:r>
        <w:rPr>
          <w:spacing w:val="-2"/>
          <w:sz w:val="20"/>
        </w:rPr>
        <w:t xml:space="preserve"> </w:t>
      </w:r>
      <w:r>
        <w:rPr>
          <w:sz w:val="20"/>
        </w:rPr>
        <w:t>Interpretive</w:t>
      </w:r>
      <w:r>
        <w:rPr>
          <w:spacing w:val="-1"/>
          <w:sz w:val="20"/>
        </w:rPr>
        <w:t xml:space="preserve"> </w:t>
      </w:r>
      <w:r>
        <w:rPr>
          <w:sz w:val="20"/>
        </w:rPr>
        <w:t>Description:</w:t>
      </w:r>
      <w:r>
        <w:rPr>
          <w:spacing w:val="-3"/>
          <w:sz w:val="20"/>
        </w:rPr>
        <w:t xml:space="preserve"> </w:t>
      </w:r>
      <w:r>
        <w:rPr>
          <w:sz w:val="20"/>
        </w:rPr>
        <w:t>Qualitative</w:t>
      </w:r>
      <w:r>
        <w:rPr>
          <w:spacing w:val="-4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3"/>
          <w:sz w:val="20"/>
        </w:rPr>
        <w:t xml:space="preserve"> </w:t>
      </w:r>
      <w:r>
        <w:rPr>
          <w:sz w:val="20"/>
        </w:rPr>
        <w:t>practice</w:t>
      </w:r>
      <w:r>
        <w:rPr>
          <w:spacing w:val="-4"/>
          <w:sz w:val="20"/>
        </w:rPr>
        <w:t xml:space="preserve"> </w:t>
      </w:r>
      <w:r>
        <w:rPr>
          <w:sz w:val="20"/>
        </w:rPr>
        <w:t>[Internet]. 2nd ed.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York: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Routledge; 2016. Available from: </w:t>
      </w:r>
      <w:r>
        <w:rPr>
          <w:color w:val="0562C1"/>
          <w:sz w:val="20"/>
          <w:u w:val="single" w:color="0562C1"/>
        </w:rPr>
        <w:t>https://doi.org/10.4324/9781315545196</w:t>
      </w:r>
    </w:p>
    <w:p w14:paraId="1FAB2A10" w14:textId="77777777" w:rsidR="00CA2827" w:rsidRDefault="00CA2827"/>
    <w:sectPr w:rsidR="00CA28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0F7A" w14:textId="77777777" w:rsidR="005D2F51" w:rsidRDefault="005D2F51" w:rsidP="00D00E60">
      <w:r>
        <w:separator/>
      </w:r>
    </w:p>
  </w:endnote>
  <w:endnote w:type="continuationSeparator" w:id="0">
    <w:p w14:paraId="11419B31" w14:textId="77777777" w:rsidR="005D2F51" w:rsidRDefault="005D2F51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617C" w14:textId="77777777" w:rsidR="005D2F51" w:rsidRDefault="005D2F51" w:rsidP="00D00E60">
      <w:r>
        <w:separator/>
      </w:r>
    </w:p>
  </w:footnote>
  <w:footnote w:type="continuationSeparator" w:id="0">
    <w:p w14:paraId="24F2E072" w14:textId="77777777" w:rsidR="005D2F51" w:rsidRDefault="005D2F51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CBB"/>
    <w:multiLevelType w:val="hybridMultilevel"/>
    <w:tmpl w:val="51CC8D3A"/>
    <w:lvl w:ilvl="0" w:tplc="5D30514C">
      <w:start w:val="5"/>
      <w:numFmt w:val="decimal"/>
      <w:lvlText w:val="%1."/>
      <w:lvlJc w:val="left"/>
      <w:pPr>
        <w:ind w:left="853" w:hanging="7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C0C0C"/>
        <w:spacing w:val="-3"/>
        <w:w w:val="99"/>
        <w:sz w:val="32"/>
        <w:szCs w:val="32"/>
        <w:lang w:val="en-US" w:eastAsia="en-US" w:bidi="ar-SA"/>
      </w:rPr>
    </w:lvl>
    <w:lvl w:ilvl="1" w:tplc="3E86E4A4">
      <w:start w:val="1"/>
      <w:numFmt w:val="decimal"/>
      <w:lvlText w:val="%2."/>
      <w:lvlJc w:val="left"/>
      <w:pPr>
        <w:ind w:left="13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FE81DBC">
      <w:numFmt w:val="bullet"/>
      <w:lvlText w:val="•"/>
      <w:lvlJc w:val="left"/>
      <w:pPr>
        <w:ind w:left="1927" w:hanging="197"/>
      </w:pPr>
      <w:rPr>
        <w:rFonts w:hint="default"/>
        <w:lang w:val="en-US" w:eastAsia="en-US" w:bidi="ar-SA"/>
      </w:rPr>
    </w:lvl>
    <w:lvl w:ilvl="3" w:tplc="F7C60CDC">
      <w:numFmt w:val="bullet"/>
      <w:lvlText w:val="•"/>
      <w:lvlJc w:val="left"/>
      <w:pPr>
        <w:ind w:left="2994" w:hanging="197"/>
      </w:pPr>
      <w:rPr>
        <w:rFonts w:hint="default"/>
        <w:lang w:val="en-US" w:eastAsia="en-US" w:bidi="ar-SA"/>
      </w:rPr>
    </w:lvl>
    <w:lvl w:ilvl="4" w:tplc="9346717A">
      <w:numFmt w:val="bullet"/>
      <w:lvlText w:val="•"/>
      <w:lvlJc w:val="left"/>
      <w:pPr>
        <w:ind w:left="4062" w:hanging="197"/>
      </w:pPr>
      <w:rPr>
        <w:rFonts w:hint="default"/>
        <w:lang w:val="en-US" w:eastAsia="en-US" w:bidi="ar-SA"/>
      </w:rPr>
    </w:lvl>
    <w:lvl w:ilvl="5" w:tplc="B7CC9A7C">
      <w:numFmt w:val="bullet"/>
      <w:lvlText w:val="•"/>
      <w:lvlJc w:val="left"/>
      <w:pPr>
        <w:ind w:left="5129" w:hanging="197"/>
      </w:pPr>
      <w:rPr>
        <w:rFonts w:hint="default"/>
        <w:lang w:val="en-US" w:eastAsia="en-US" w:bidi="ar-SA"/>
      </w:rPr>
    </w:lvl>
    <w:lvl w:ilvl="6" w:tplc="1CC03A88">
      <w:numFmt w:val="bullet"/>
      <w:lvlText w:val="•"/>
      <w:lvlJc w:val="left"/>
      <w:pPr>
        <w:ind w:left="6196" w:hanging="197"/>
      </w:pPr>
      <w:rPr>
        <w:rFonts w:hint="default"/>
        <w:lang w:val="en-US" w:eastAsia="en-US" w:bidi="ar-SA"/>
      </w:rPr>
    </w:lvl>
    <w:lvl w:ilvl="7" w:tplc="04A45738">
      <w:numFmt w:val="bullet"/>
      <w:lvlText w:val="•"/>
      <w:lvlJc w:val="left"/>
      <w:pPr>
        <w:ind w:left="7264" w:hanging="197"/>
      </w:pPr>
      <w:rPr>
        <w:rFonts w:hint="default"/>
        <w:lang w:val="en-US" w:eastAsia="en-US" w:bidi="ar-SA"/>
      </w:rPr>
    </w:lvl>
    <w:lvl w:ilvl="8" w:tplc="86388CE2">
      <w:numFmt w:val="bullet"/>
      <w:lvlText w:val="•"/>
      <w:lvlJc w:val="left"/>
      <w:pPr>
        <w:ind w:left="8331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1"/>
  </w:num>
  <w:num w:numId="2" w16cid:durableId="1200437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B19E4"/>
    <w:rsid w:val="001C1584"/>
    <w:rsid w:val="002249DE"/>
    <w:rsid w:val="00265EED"/>
    <w:rsid w:val="002B5ABA"/>
    <w:rsid w:val="003570F0"/>
    <w:rsid w:val="00371252"/>
    <w:rsid w:val="003B5287"/>
    <w:rsid w:val="004175CE"/>
    <w:rsid w:val="00454FF1"/>
    <w:rsid w:val="004C1625"/>
    <w:rsid w:val="00502FC5"/>
    <w:rsid w:val="00511802"/>
    <w:rsid w:val="005646D9"/>
    <w:rsid w:val="00572429"/>
    <w:rsid w:val="005D2F51"/>
    <w:rsid w:val="0060336F"/>
    <w:rsid w:val="006C00A9"/>
    <w:rsid w:val="007773C9"/>
    <w:rsid w:val="00922FF4"/>
    <w:rsid w:val="00941E04"/>
    <w:rsid w:val="00A54AF7"/>
    <w:rsid w:val="00A76B9C"/>
    <w:rsid w:val="00A85667"/>
    <w:rsid w:val="00BA289F"/>
    <w:rsid w:val="00C16A3E"/>
    <w:rsid w:val="00C20DAA"/>
    <w:rsid w:val="00C736FA"/>
    <w:rsid w:val="00CA2827"/>
    <w:rsid w:val="00D00E60"/>
    <w:rsid w:val="00D41190"/>
    <w:rsid w:val="00D61347"/>
    <w:rsid w:val="00E701C2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1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0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er.com/Article/FullText/2793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hoyle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dhb.org.nz/assets/Uploads/Documents/45f463d911/rttc_health-service-co-design-by-h-boy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637</Words>
  <Characters>4061</Characters>
  <Application>Microsoft Office Word</Application>
  <DocSecurity>0</DocSecurity>
  <Lines>88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Melanie Hoyle</cp:lastModifiedBy>
  <cp:revision>5</cp:revision>
  <dcterms:created xsi:type="dcterms:W3CDTF">2024-02-28T18:59:00Z</dcterms:created>
  <dcterms:modified xsi:type="dcterms:W3CDTF">2024-02-28T21:53:00Z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7487404fb02ef03c305d3953c373a144fdbd8b58a49aa3930483cdfdeb98f9e2</vt:lpwstr>
  </property>
</Properties>
</file>